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0" w:rsidRDefault="00757623">
      <w:pPr>
        <w:pStyle w:val="2"/>
        <w:framePr w:w="9562" w:h="1710" w:hRule="exact" w:wrap="none" w:vAnchor="page" w:hAnchor="page" w:x="1173" w:y="3753"/>
        <w:shd w:val="clear" w:color="auto" w:fill="auto"/>
        <w:ind w:left="180"/>
      </w:pPr>
      <w:r>
        <w:t xml:space="preserve">Перечень централизованно закупаемых за счет средств федерального бюджета лекарственных средств,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муковиснидозом</w:t>
      </w:r>
      <w:proofErr w:type="spellEnd"/>
      <w:r>
        <w:t xml:space="preserve">, </w:t>
      </w:r>
      <w:r>
        <w:t>гипофизарным нанизмом, болезнью Гоше, рассеянным склерозом, а также после трансплантации органов и</w:t>
      </w:r>
    </w:p>
    <w:p w:rsidR="008D2980" w:rsidRDefault="00757623">
      <w:pPr>
        <w:pStyle w:val="2"/>
        <w:framePr w:w="9562" w:h="1710" w:hRule="exact" w:wrap="none" w:vAnchor="page" w:hAnchor="page" w:x="1173" w:y="3753"/>
        <w:shd w:val="clear" w:color="auto" w:fill="auto"/>
        <w:ind w:left="180"/>
      </w:pPr>
      <w:r>
        <w:t>(или)</w:t>
      </w:r>
      <w:r w:rsidR="00431A11">
        <w:t xml:space="preserve"> </w:t>
      </w:r>
      <w:r>
        <w:t>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566"/>
        <w:gridCol w:w="4222"/>
      </w:tblGrid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after="60" w:line="170" w:lineRule="exact"/>
              <w:ind w:left="140"/>
              <w:jc w:val="left"/>
            </w:pPr>
            <w:r>
              <w:rPr>
                <w:rStyle w:val="LucidaSansUnicode85pt0pt"/>
              </w:rPr>
              <w:t>№</w:t>
            </w:r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а/а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00" w:lineRule="exact"/>
            </w:pPr>
            <w:r>
              <w:rPr>
                <w:rStyle w:val="1"/>
                <w:b/>
                <w:bCs/>
              </w:rPr>
              <w:t>Нозология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LucidaSansUnicode85pt0pt"/>
              </w:rPr>
              <w:t>Лекарственные препараты</w:t>
            </w:r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LucidaSansUnicode0pt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jc w:val="both"/>
            </w:pPr>
            <w:r>
              <w:rPr>
                <w:rStyle w:val="LucidaSansUnicode85pt0pt"/>
              </w:rPr>
              <w:t>Лекарственные средства,</w:t>
            </w:r>
            <w:r w:rsidR="00757623">
              <w:rPr>
                <w:rStyle w:val="LucidaSansUnicode85pt0pt"/>
              </w:rPr>
              <w:t xml:space="preserve"> которыми обеспечиваются больные гемофилией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A11" w:rsidRDefault="00431A11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  <w:rPr>
                <w:rStyle w:val="LucidaSansUnicode85pt0pt"/>
              </w:rPr>
            </w:pPr>
            <w:proofErr w:type="spellStart"/>
            <w:r>
              <w:rPr>
                <w:rStyle w:val="LucidaSansUnicode85pt0pt"/>
              </w:rPr>
              <w:t>О</w:t>
            </w:r>
            <w:r w:rsidR="00757623">
              <w:rPr>
                <w:rStyle w:val="LucidaSansUnicode85pt0pt"/>
              </w:rPr>
              <w:t>кто</w:t>
            </w:r>
            <w:r w:rsidR="00757623">
              <w:rPr>
                <w:rStyle w:val="LucidaSansUnicode85pt0pt"/>
              </w:rPr>
              <w:t>ко</w:t>
            </w:r>
            <w:r w:rsidR="00757623">
              <w:rPr>
                <w:rStyle w:val="LucidaSansUnicode85pt0pt"/>
              </w:rPr>
              <w:t>г</w:t>
            </w:r>
            <w:proofErr w:type="spellEnd"/>
            <w:r w:rsidR="00757623">
              <w:rPr>
                <w:rStyle w:val="LucidaSansUnicode85pt0pt"/>
              </w:rPr>
              <w:t xml:space="preserve"> альфа </w:t>
            </w:r>
          </w:p>
          <w:p w:rsidR="00431A11" w:rsidRDefault="00757623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  <w:rPr>
                <w:rStyle w:val="LucidaSansUnicode85pt0pt"/>
              </w:rPr>
            </w:pPr>
            <w:r>
              <w:rPr>
                <w:rStyle w:val="LucidaSansUnicode85pt0pt"/>
              </w:rPr>
              <w:t>Фактор свертывания</w:t>
            </w:r>
            <w:r>
              <w:rPr>
                <w:rStyle w:val="LucidaSansUnicode85pt0pt"/>
              </w:rPr>
              <w:t xml:space="preserve"> VIII </w:t>
            </w:r>
          </w:p>
          <w:p w:rsidR="00431A11" w:rsidRDefault="00757623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  <w:rPr>
                <w:rStyle w:val="LucidaSansUnicode85pt0pt"/>
              </w:rPr>
            </w:pPr>
            <w:r>
              <w:rPr>
                <w:rStyle w:val="LucidaSansUnicode85pt0pt"/>
              </w:rPr>
              <w:t xml:space="preserve">Фактор свертывания IX </w:t>
            </w:r>
          </w:p>
          <w:p w:rsidR="008D2980" w:rsidRDefault="00757623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Эптаког</w:t>
            </w:r>
            <w:proofErr w:type="spellEnd"/>
            <w:r>
              <w:rPr>
                <w:rStyle w:val="LucidaSansUnicode85pt0pt"/>
              </w:rPr>
              <w:t xml:space="preserve"> альфа (</w:t>
            </w:r>
            <w:proofErr w:type="gramStart"/>
            <w:r>
              <w:rPr>
                <w:rStyle w:val="LucidaSansUnicode85pt0pt"/>
              </w:rPr>
              <w:t>активированный</w:t>
            </w:r>
            <w:proofErr w:type="gramEnd"/>
            <w:r>
              <w:rPr>
                <w:rStyle w:val="LucidaSansUnicode85pt0pt"/>
              </w:rPr>
              <w:t>)</w:t>
            </w:r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"/>
              </w:rPr>
              <w:t>2'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both"/>
            </w:pPr>
            <w:r>
              <w:rPr>
                <w:rStyle w:val="LucidaSansUnicode85pt0pt"/>
              </w:rPr>
              <w:t xml:space="preserve">Лекарственные средства, которыми обеспечиваются больные </w:t>
            </w:r>
            <w:proofErr w:type="spellStart"/>
            <w:r>
              <w:rPr>
                <w:rStyle w:val="LucidaSansUnicode85pt0pt"/>
              </w:rPr>
              <w:t>муковисцидозом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A11" w:rsidRDefault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  <w:rPr>
                <w:rStyle w:val="LucidaSansUnicode85pt0pt"/>
              </w:rPr>
            </w:pPr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Дорназа</w:t>
            </w:r>
            <w:proofErr w:type="spellEnd"/>
            <w:r>
              <w:rPr>
                <w:rStyle w:val="LucidaSansUnicode85pt0pt"/>
              </w:rPr>
              <w:t xml:space="preserve"> альфа</w:t>
            </w:r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0"/>
              </w:rPr>
              <w:t>3-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jc w:val="both"/>
            </w:pPr>
            <w:r>
              <w:rPr>
                <w:rStyle w:val="LucidaSansUnicode85pt0pt"/>
              </w:rPr>
              <w:t>Лекарственные средства</w:t>
            </w:r>
            <w:proofErr w:type="gramStart"/>
            <w:r>
              <w:rPr>
                <w:rStyle w:val="LucidaSansUnicode85pt0pt"/>
              </w:rPr>
              <w:t>.</w:t>
            </w:r>
            <w:proofErr w:type="gramEnd"/>
            <w:r>
              <w:rPr>
                <w:rStyle w:val="LucidaSansUnicode85pt0pt"/>
              </w:rPr>
              <w:t xml:space="preserve"> </w:t>
            </w:r>
            <w:proofErr w:type="gramStart"/>
            <w:r>
              <w:rPr>
                <w:rStyle w:val="LucidaSansUnicode85pt0pt"/>
              </w:rPr>
              <w:t>к</w:t>
            </w:r>
            <w:proofErr w:type="gramEnd"/>
            <w:r>
              <w:rPr>
                <w:rStyle w:val="LucidaSansUnicode85pt0pt"/>
              </w:rPr>
              <w:t>оторыми обеспечиваются больные гипофизарным нанизмом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A11" w:rsidRDefault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  <w:rPr>
                <w:rStyle w:val="LucidaSansUnicode85pt0pt"/>
              </w:rPr>
            </w:pPr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Соматропин</w:t>
            </w:r>
            <w:proofErr w:type="spellEnd"/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jc w:val="both"/>
            </w:pPr>
            <w:r>
              <w:rPr>
                <w:rStyle w:val="LucidaSansUnicode85pt0pt"/>
              </w:rPr>
              <w:t>Лекарственные средства, которыми обеспечиваются больные болезнью Гоше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Имиглюцераза</w:t>
            </w:r>
            <w:proofErr w:type="spellEnd"/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70" w:lineRule="exact"/>
              <w:jc w:val="both"/>
            </w:pPr>
            <w:r>
              <w:rPr>
                <w:rStyle w:val="LucidaSansUnicode85pt0pt"/>
              </w:rPr>
              <w:t>Лекарственные средства</w:t>
            </w:r>
            <w:proofErr w:type="gramStart"/>
            <w:r>
              <w:rPr>
                <w:rStyle w:val="LucidaSansUnicode85pt0pt"/>
              </w:rPr>
              <w:t>.</w:t>
            </w:r>
            <w:proofErr w:type="gramEnd"/>
            <w:r>
              <w:rPr>
                <w:rStyle w:val="LucidaSansUnicode85pt0pt"/>
              </w:rPr>
              <w:t xml:space="preserve"> </w:t>
            </w:r>
            <w:proofErr w:type="gramStart"/>
            <w:r w:rsidR="00431A11">
              <w:rPr>
                <w:rStyle w:val="LucidaSansUnicode85pt0pt"/>
              </w:rPr>
              <w:t>к</w:t>
            </w:r>
            <w:proofErr w:type="gramEnd"/>
            <w:r w:rsidR="00431A11">
              <w:rPr>
                <w:rStyle w:val="LucidaSansUnicode85pt0pt"/>
              </w:rPr>
              <w:t xml:space="preserve">оторыми обеспечиваются больные </w:t>
            </w:r>
            <w:r w:rsidRPr="00431A11">
              <w:rPr>
                <w:rStyle w:val="LucidaSansUnicode0pt"/>
                <w:sz w:val="17"/>
                <w:szCs w:val="17"/>
              </w:rPr>
              <w:t>злокачественными новообразованиями лимфоидной, кроветворной и родственных им тканей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Бортезомиб</w:t>
            </w:r>
            <w:proofErr w:type="spellEnd"/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Иматиниб</w:t>
            </w:r>
            <w:proofErr w:type="spellEnd"/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Ритуксимаб</w:t>
            </w:r>
            <w:proofErr w:type="spellEnd"/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6" w:lineRule="exact"/>
              <w:ind w:left="660"/>
              <w:jc w:val="left"/>
            </w:pPr>
            <w:proofErr w:type="spellStart"/>
            <w:r>
              <w:rPr>
                <w:rStyle w:val="LucidaSansUnicode85pt0pt"/>
              </w:rPr>
              <w:t>Флударабин</w:t>
            </w:r>
            <w:proofErr w:type="spellEnd"/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both"/>
            </w:pPr>
            <w:r>
              <w:rPr>
                <w:rStyle w:val="LucidaSansUnicode85pt0pt"/>
              </w:rPr>
              <w:t>Лекарственные средства, которыми обеспечиваются больные рассеянным склерозом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A11" w:rsidRDefault="00431A11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left"/>
              <w:rPr>
                <w:rStyle w:val="LucidaSansUnicode85pt0pt"/>
              </w:rPr>
            </w:pPr>
            <w:r>
              <w:rPr>
                <w:rStyle w:val="LucidaSansUnicode85pt0pt"/>
              </w:rPr>
              <w:t xml:space="preserve">            </w:t>
            </w:r>
            <w:proofErr w:type="spellStart"/>
            <w:r w:rsidR="00757623">
              <w:rPr>
                <w:rStyle w:val="LucidaSansUnicode85pt0pt"/>
              </w:rPr>
              <w:t>Глатирамера</w:t>
            </w:r>
            <w:proofErr w:type="spellEnd"/>
            <w:r w:rsidR="00757623">
              <w:rPr>
                <w:rStyle w:val="LucidaSansUnicode85pt0pt"/>
              </w:rPr>
              <w:t xml:space="preserve"> ацетат</w:t>
            </w:r>
          </w:p>
          <w:p w:rsidR="00431A11" w:rsidRDefault="00431A11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left"/>
              <w:rPr>
                <w:rStyle w:val="LucidaSansUnicode85pt0pt"/>
              </w:rPr>
            </w:pPr>
            <w:r>
              <w:rPr>
                <w:rStyle w:val="LucidaSansUnicode85pt0pt"/>
              </w:rPr>
              <w:t xml:space="preserve">            Интерферон бета-1</w:t>
            </w:r>
            <w:r w:rsidR="00757623">
              <w:rPr>
                <w:rStyle w:val="LucidaSansUnicode85pt0pt"/>
              </w:rPr>
              <w:t>а</w:t>
            </w:r>
          </w:p>
          <w:p w:rsidR="008D2980" w:rsidRDefault="00431A11" w:rsidP="00431A11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left"/>
            </w:pPr>
            <w:r>
              <w:rPr>
                <w:rStyle w:val="LucidaSansUnicode85pt0pt"/>
              </w:rPr>
              <w:t xml:space="preserve">            </w:t>
            </w:r>
            <w:r w:rsidR="00757623">
              <w:rPr>
                <w:rStyle w:val="LucidaSansUnicode85pt0pt"/>
              </w:rPr>
              <w:t>Интерферон бета-1 Ь</w:t>
            </w:r>
          </w:p>
        </w:tc>
      </w:tr>
      <w:tr w:rsidR="008D2980" w:rsidTr="00431A11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LucidaSansUnicode85pt0pt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jc w:val="both"/>
            </w:pPr>
            <w:r>
              <w:rPr>
                <w:rStyle w:val="LucidaSansUnicode85pt0pt"/>
              </w:rPr>
              <w:t xml:space="preserve">Лекарственные средства, которыми обеспечиваются пациенты после трансплантации органов и </w:t>
            </w:r>
            <w:r>
              <w:rPr>
                <w:rStyle w:val="LucidaSansUnicode85pt0pt"/>
              </w:rPr>
              <w:t>(или) тканей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11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ind w:left="660"/>
              <w:jc w:val="left"/>
              <w:rPr>
                <w:rStyle w:val="LucidaSansUnicode85pt0pt"/>
              </w:rPr>
            </w:pPr>
            <w:proofErr w:type="spellStart"/>
            <w:r>
              <w:rPr>
                <w:rStyle w:val="LucidaSansUnicode85pt0pt"/>
              </w:rPr>
              <w:t>Микофеноловая</w:t>
            </w:r>
            <w:proofErr w:type="spellEnd"/>
            <w:r>
              <w:rPr>
                <w:rStyle w:val="LucidaSansUnicode85pt0pt"/>
              </w:rPr>
              <w:t xml:space="preserve"> кислота </w:t>
            </w:r>
          </w:p>
          <w:p w:rsidR="00431A11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ind w:left="660"/>
              <w:jc w:val="left"/>
              <w:rPr>
                <w:rStyle w:val="LucidaSansUnicode85pt0pt"/>
              </w:rPr>
            </w:pPr>
            <w:proofErr w:type="spellStart"/>
            <w:r>
              <w:rPr>
                <w:rStyle w:val="LucidaSansUnicode85pt0pt"/>
              </w:rPr>
              <w:t>Микофенолата</w:t>
            </w:r>
            <w:proofErr w:type="spellEnd"/>
            <w:r>
              <w:rPr>
                <w:rStyle w:val="LucidaSansUnicode85pt0pt"/>
              </w:rPr>
              <w:t xml:space="preserve"> </w:t>
            </w:r>
            <w:proofErr w:type="spellStart"/>
            <w:r>
              <w:rPr>
                <w:rStyle w:val="LucidaSansUnicode85pt0pt"/>
              </w:rPr>
              <w:t>мофетил</w:t>
            </w:r>
            <w:proofErr w:type="spellEnd"/>
            <w:r>
              <w:rPr>
                <w:rStyle w:val="LucidaSansUnicode85pt0pt"/>
              </w:rPr>
              <w:t xml:space="preserve"> </w:t>
            </w:r>
          </w:p>
          <w:p w:rsidR="00431A11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ind w:left="660"/>
              <w:jc w:val="left"/>
              <w:rPr>
                <w:rStyle w:val="LucidaSansUnicode85pt0pt"/>
              </w:rPr>
            </w:pPr>
            <w:proofErr w:type="spellStart"/>
            <w:r>
              <w:rPr>
                <w:rStyle w:val="LucidaSansUnicode85pt0pt"/>
              </w:rPr>
              <w:t>Такролимус</w:t>
            </w:r>
            <w:proofErr w:type="spellEnd"/>
            <w:r>
              <w:rPr>
                <w:rStyle w:val="LucidaSansUnicode85pt0pt"/>
              </w:rPr>
              <w:t xml:space="preserve"> </w:t>
            </w:r>
          </w:p>
          <w:p w:rsidR="008D2980" w:rsidRDefault="00757623">
            <w:pPr>
              <w:pStyle w:val="2"/>
              <w:framePr w:w="9335" w:h="7351" w:wrap="none" w:vAnchor="page" w:hAnchor="page" w:x="1177" w:y="5978"/>
              <w:shd w:val="clear" w:color="auto" w:fill="auto"/>
              <w:spacing w:line="252" w:lineRule="exact"/>
              <w:ind w:left="660"/>
              <w:jc w:val="left"/>
            </w:pPr>
            <w:bookmarkStart w:id="0" w:name="_GoBack"/>
            <w:bookmarkEnd w:id="0"/>
            <w:proofErr w:type="spellStart"/>
            <w:r>
              <w:rPr>
                <w:rStyle w:val="LucidaSansUnicode85pt0pt"/>
              </w:rPr>
              <w:t>Циклоспорин</w:t>
            </w:r>
            <w:proofErr w:type="spellEnd"/>
          </w:p>
        </w:tc>
      </w:tr>
    </w:tbl>
    <w:p w:rsidR="008D2980" w:rsidRDefault="008D2980">
      <w:pPr>
        <w:rPr>
          <w:sz w:val="2"/>
          <w:szCs w:val="2"/>
        </w:rPr>
      </w:pPr>
    </w:p>
    <w:sectPr w:rsidR="008D298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3" w:rsidRDefault="00757623">
      <w:r>
        <w:separator/>
      </w:r>
    </w:p>
  </w:endnote>
  <w:endnote w:type="continuationSeparator" w:id="0">
    <w:p w:rsidR="00757623" w:rsidRDefault="0075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3" w:rsidRDefault="00757623"/>
  </w:footnote>
  <w:footnote w:type="continuationSeparator" w:id="0">
    <w:p w:rsidR="00757623" w:rsidRDefault="007576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2980"/>
    <w:rsid w:val="00431A11"/>
    <w:rsid w:val="00757623"/>
    <w:rsid w:val="008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LucidaSansUnicode85pt0pt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LucidaSansUnicode0pt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LucidaSansUnicode85pt0pt0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2015-09-25T06:07:00Z</dcterms:created>
  <dcterms:modified xsi:type="dcterms:W3CDTF">2015-09-25T06:11:00Z</dcterms:modified>
</cp:coreProperties>
</file>